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21.png" ContentType="image/png"/>
  <Override PartName="/word/media/rId2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4" w:name="current-delta-hydrologic-conditions"/>
    <w:p>
      <w:pPr>
        <w:pStyle w:val="Heading2"/>
      </w:pPr>
      <w:r>
        <w:t xml:space="preserve">Current Delta Hydrologic Conditions</w:t>
      </w:r>
    </w:p>
    <w:p>
      <w:pPr>
        <w:pStyle w:val="FirstParagraph"/>
      </w:pPr>
      <w:r>
        <w:t xml:space="preserve">Last updated:</w:t>
      </w:r>
      <w:r>
        <w:t xml:space="preserve"> </w:t>
      </w:r>
      <w:r>
        <w:rPr>
          <w:i/>
          <w:iCs/>
        </w:rPr>
        <w:t xml:space="preserve">Monday, March 09, 2026 at 8 AM</w:t>
      </w:r>
    </w:p>
    <w:bookmarkStart w:id="20" w:name="operational-and-regulatory-conditions"/>
    <w:p>
      <w:pPr>
        <w:pStyle w:val="Heading3"/>
      </w:pPr>
      <w:r>
        <w:t xml:space="preserve">Operational and Regulatory Conditions</w:t>
      </w:r>
    </w:p>
    <w:p>
      <w:pPr>
        <w:pStyle w:val="FirstParagraph"/>
      </w:pPr>
      <w:r>
        <w:t xml:space="preserve">The current controlling factor is OMRI restrictions to no more negative than -5,000 cfs. See most recent weekly outlook for more information.</w:t>
      </w:r>
    </w:p>
    <w:bookmarkEnd w:id="20"/>
    <w:bookmarkStart w:id="26" w:name="current-conditions"/>
    <w:p>
      <w:pPr>
        <w:pStyle w:val="Heading3"/>
      </w:pPr>
      <w:r>
        <w:t xml:space="preserve">Current Conditions</w:t>
      </w:r>
    </w:p>
    <w:p>
      <w:pPr>
        <w:pStyle w:val="FirstParagraph"/>
      </w:pPr>
      <w:r>
        <w:t xml:space="preserve">Most recent inflow at Freeport in the Sacramento River and Vernalis in the San Joaquin River is 37,997 and 5,351 cfs respectively. Most recent Jersey Point Flow (JPF) is 6,075 cfs. Most recent 1-day, 5-day, and 14-day OMRI measurements were -4,951, -4,950, and -5,061 cfs, respectively, and most recent export data were 3,551 cfs for Jones Pumping Plant and 1,734 cfs for Henry O. Banks Pumping Plant.</w:t>
      </w:r>
    </w:p>
    <w:tbl>
      <w:tblPr>
        <w:tblStyle w:val="Table"/>
        <w:tblW w:type="pct" w:w="5000"/>
        <w:tblLayout w:type="fixed"/>
        <w:tblLook w:firstRow="0" w:lastRow="0" w:firstColumn="0" w:lastColumn="0" w:noHBand="0" w:noVBand="0" w:val="0000"/>
      </w:tblPr>
      <w:tblGrid>
        <w:gridCol w:w="7920"/>
      </w:tblGrid>
      <w:tr>
        <w:tc>
          <w:tcPr/>
          <w:bookmarkStart w:id="24" w:name="fig-triggers"/>
          <w:p>
            <w:pPr>
              <w:pStyle w:val="Compact"/>
              <w:jc w:val="center"/>
            </w:pPr>
            <w:r>
              <w:drawing>
                <wp:inline>
                  <wp:extent cx="5943600" cy="4622800"/>
                  <wp:effectExtent b="0" l="0" r="0" t="0"/>
                  <wp:docPr descr="" title="" id="22" name="Picture"/>
                  <a:graphic>
                    <a:graphicData uri="http://schemas.openxmlformats.org/drawingml/2006/picture">
                      <pic:pic>
                        <pic:nvPicPr>
                          <pic:cNvPr descr="delta_hydro_files/figure-docx/fig-triggers-1.png" id="23" name="Picture"/>
                          <pic:cNvPicPr>
                            <a:picLocks noChangeArrowheads="1" noChangeAspect="1"/>
                          </pic:cNvPicPr>
                        </pic:nvPicPr>
                        <pic:blipFill>
                          <a:blip r:embed="rId21"/>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lines in the OMRI plot indicate different triggers and thresholds (see Table 1), with shading representing specific action periods. Dashed and dotted vertical lines represent triggered actions and thresholds, respectively. OMRI data (colored lines) calculated by SacPAS, Freeport (FPT) and Vernalis (VNS) flow data from CDEC, Jersey Point Flow (JPF) from DWR, and CVP (TRP) and SWP (HRO) exports data from CDEC.</w:t>
            </w:r>
          </w:p>
          <w:bookmarkEnd w:id="24"/>
        </w:tc>
      </w:tr>
    </w:tbl>
    <w:tbl>
      <w:tblPr>
        <w:tblStyle w:val="Table"/>
        <w:tblW w:type="pct" w:w="5000"/>
        <w:tblLayout w:type="fixed"/>
        <w:tblLook w:firstRow="0" w:lastRow="0" w:firstColumn="0" w:lastColumn="0" w:noHBand="0" w:noVBand="0" w:val="0000"/>
      </w:tblPr>
      <w:tblGrid>
        <w:gridCol w:w="7920"/>
      </w:tblGrid>
      <w:tr>
        <w:tc>
          <w:tcPr/>
          <w:bookmarkStart w:id="25" w:name="tbl-triggers"/>
          <w:p>
            <w:pPr>
              <w:jc w:val="center"/>
            </w:pPr>
            <w:pPr>
              <w:jc w:val="left"/>
              <w:spacing w:before="200"/>
              <w:pStyle w:val="ImageCaption"/>
            </w:pPr>
            <w:r>
              <w:t xml:space="preserve">Table 1: Summary of Actions and Triggers, WY 2026</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Label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Action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Triggered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Date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Number Days Implemented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Regulation</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 Closure</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10/28/2025</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2025-10-30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Ongoing</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DCC gates</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First Flush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12/24/2025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2025-12-25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14 days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Entrainment Management</w:t>
                  </w:r>
                </w:p>
              </w:tc>
            </w:tr>
            <w:tr>
              <w:trPr>
                <w:trHeight w:val="360" w:hRule="auto"/>
              </w:trPr>
              body3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Offramp temperature threshold</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2/12/2026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3 consecutive days</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Carlito" w:hAnsi="Carlito" w:eastAsia="Carlito" w:cs="Carlito"/>
                      <w:i w:val="false"/>
                      <w:b w:val="false"/>
                      <w:u w:val="none"/>
                      <w:strike w:val="fals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Carlito" w:hAnsi="Carlito" w:eastAsia="Carlito" w:cs="Carlito"/>
                      <w:i w:val="false"/>
                      <w:b w:val="false"/>
                      <w:u w:val="none"/>
                      <w:strike w:val="false"/>
                      <w:sz w:val="22"/>
                      <w:szCs w:val="22"/>
                      <w:color w:val="000000"/>
                    </w:rPr>
                    <w:t xml:space="preserve">Delta Smelt Adult Entrainment, no action taken WY26</w:t>
                  </w:r>
                </w:p>
              </w:tc>
            </w:tr>
          </w:tbl>
          <w:bookmarkEnd w:id="25"/>
        </w:tc>
      </w:tr>
    </w:tbl>
    <w:bookmarkEnd w:id="26"/>
    <w:bookmarkStart w:id="33" w:name="zone-of-influence"/>
    <w:p>
      <w:pPr>
        <w:pStyle w:val="Heading3"/>
      </w:pPr>
      <w:r>
        <w:t xml:space="preserve">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27">
        <w:r>
          <w:rPr>
            <w:rStyle w:val="Hyperlink"/>
          </w:rPr>
          <w:t xml:space="preserve">SacPAS</w:t>
        </w:r>
      </w:hyperlink>
      <w:r>
        <w:t xml:space="preserve">. Forecasted flows were queried from short range deterministic flows provided by the</w:t>
      </w:r>
      <w:r>
        <w:t xml:space="preserve"> </w:t>
      </w:r>
      <w:hyperlink r:id="rId28">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‘hihi’</w:t>
      </w:r>
      <w:r>
        <w:t xml:space="preserve"> </w:t>
      </w:r>
      <w:r>
        <w:t xml:space="preserve">category. Forecasted conditions averaged across the next 7 days falls within the</w:t>
      </w:r>
      <w:r>
        <w:t xml:space="preserve"> </w:t>
      </w:r>
      <w:r>
        <w:t xml:space="preserve">‘hihi’</w:t>
      </w:r>
      <w:r>
        <w:t xml:space="preserve"> </w:t>
      </w:r>
      <w:r>
        <w:t xml:space="preserve">category.</w:t>
      </w:r>
    </w:p>
    <w:p>
      <w:pPr>
        <w:pStyle w:val="BodyText"/>
      </w:pPr>
      <w:r>
        <w:t xml:space="preserve">The altered channel length for the current</w:t>
      </w:r>
      <w:r>
        <w:t xml:space="preserve"> </w:t>
      </w:r>
      <w:r>
        <w:t xml:space="preserve">“hihi”</w:t>
      </w:r>
      <w:r>
        <w:t xml:space="preserve"> </w:t>
      </w:r>
      <w:r>
        <w:t xml:space="preserve">hydrology is 99, 100, 119 and 114 kilometers (km) across OMR bins of -2000, -3500, -5000 and &lt;-5500 respectively. The altered channel length for forecasted</w:t>
      </w:r>
      <w:r>
        <w:t xml:space="preserve"> </w:t>
      </w:r>
      <w:r>
        <w:t xml:space="preserve">“hihi”</w:t>
      </w:r>
      <w:r>
        <w:t xml:space="preserve"> </w:t>
      </w:r>
      <w:r>
        <w:t xml:space="preserve">hydrology is 99, 100, 119 and 114 kilometers (km) across OMR bins of -2000, -3500, -5000 and &lt;-5500 respectively.</w:t>
      </w:r>
    </w:p>
    <w:p>
      <w:pPr>
        <w:pStyle w:val="BodyText"/>
      </w:pPr>
      <w:r>
        <w:t xml:space="preserve">Change in altered channel length between OMR levels is 15 km for current conditions and 15 km for forecasted conditions indicating that ZOI impacts across OMR scenarios would not change between current and forecasted conditions. Across the nine hydrology bins, changes in altered channel length across OMR scenarios are low (&lt;25th percentile)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2" w:name="fig-zoi_graph"/>
          <w:p>
            <w:pPr>
              <w:pStyle w:val="Compact"/>
              <w:jc w:val="center"/>
            </w:pPr>
            <w:r>
              <w:drawing>
                <wp:inline>
                  <wp:extent cx="5943600" cy="2971800"/>
                  <wp:effectExtent b="0" l="0" r="0" t="0"/>
                  <wp:docPr descr="" title="" id="30" name="Picture"/>
                  <a:graphic>
                    <a:graphicData uri="http://schemas.openxmlformats.org/drawingml/2006/picture">
                      <pic:pic>
                        <pic:nvPicPr>
                          <pic:cNvPr descr="delta_hydro_files/figure-docx/fig-zoi_graph-1.png" id="31" name="Picture"/>
                          <pic:cNvPicPr>
                            <a:picLocks noChangeArrowheads="1" noChangeAspect="1"/>
                          </pic:cNvPicPr>
                        </pic:nvPicPr>
                        <pic:blipFill>
                          <a:blip r:embed="rId29"/>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2"/>
        </w:tc>
      </w:tr>
    </w:tbl>
    <w:bookmarkEnd w:id="33"/>
    <w:bookmarkEnd w:id="34"/>
    <w:sectPr w:rsidR="006E75FE">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25778032" w:numId="1">
    <w:abstractNumId w:val="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395"/>
    <w:rsid w:val="001C2334"/>
    <w:rsid w:val="0044176F"/>
    <w:rsid w:val="00497B28"/>
    <w:rsid w:val="005A2AF6"/>
    <w:rsid w:val="006E75FE"/>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21" Target="media/rId21.png" /><Relationship Type="http://schemas.openxmlformats.org/officeDocument/2006/relationships/image" Id="rId29" Target="media/rId29.png" /><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27" Target="https://www.cbr.washington.edu/sacramento/data/query_river_table.html" TargetMode="External" /><Relationship Type="http://schemas.openxmlformats.org/officeDocument/2006/relationships/hyperlink" Id="rId28"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210</Words>
  <Characters>1327</Characters>
  <Application>Microsoft Office Word</Application>
  <DocSecurity>0</DocSecurity>
  <Lines>47</Lines>
  <Paragraphs>39</Paragraphs>
  <ScaleCrop>false</ScaleCrop>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2026-03-09T15:01:39Z</dcterms:created>
  <dcterms:modified xsi:type="dcterms:W3CDTF">2026-03-09T15:01:39Z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